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5AA" w14:textId="692B9DB6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71600C" w:rsidRPr="000148B4">
        <w:rPr>
          <w:rFonts w:ascii="Times New Roman" w:eastAsia="Times New Roman" w:hAnsi="Times New Roman" w:hint="cs"/>
          <w:b/>
          <w:bCs/>
          <w:szCs w:val="24"/>
          <w:rtl/>
          <w:lang w:bidi="fa-IR"/>
        </w:rPr>
        <w:t>بررسی تاثیر بسته آموزشی بر کیفیت زندگی مرتبط با عملکرد بینایی و گلوکوم در بیماران مبتلا به گلوکوم بیمارستان امام خمینی(ره) شهر اهواز</w:t>
      </w:r>
    </w:p>
    <w:p w14:paraId="768746D1" w14:textId="20D3B150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71600C">
        <w:rPr>
          <w:rFonts w:hint="cs"/>
          <w:b/>
          <w:bCs/>
          <w:rtl/>
          <w:lang w:bidi="fa-IR"/>
        </w:rPr>
        <w:t>1/10/1402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tbl>
      <w:tblPr>
        <w:tblStyle w:val="TableGrid"/>
        <w:bidiVisual/>
        <w:tblW w:w="0" w:type="auto"/>
        <w:tblInd w:w="526" w:type="dxa"/>
        <w:tblLook w:val="04A0" w:firstRow="1" w:lastRow="0" w:firstColumn="1" w:lastColumn="0" w:noHBand="0" w:noVBand="1"/>
      </w:tblPr>
      <w:tblGrid>
        <w:gridCol w:w="1380"/>
        <w:gridCol w:w="1147"/>
        <w:gridCol w:w="1329"/>
        <w:gridCol w:w="1796"/>
        <w:gridCol w:w="3172"/>
      </w:tblGrid>
      <w:tr w:rsidR="0071600C" w14:paraId="57E2FE1A" w14:textId="77777777" w:rsidTr="008A52F6">
        <w:trPr>
          <w:trHeight w:val="918"/>
        </w:trPr>
        <w:tc>
          <w:tcPr>
            <w:tcW w:w="1912" w:type="dxa"/>
          </w:tcPr>
          <w:p w14:paraId="2E621684" w14:textId="77777777" w:rsidR="0071600C" w:rsidRPr="00FA4D96" w:rsidRDefault="0071600C" w:rsidP="008A52F6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673" w:type="dxa"/>
          </w:tcPr>
          <w:p w14:paraId="0406960E" w14:textId="77777777" w:rsidR="0071600C" w:rsidRPr="00FA4D96" w:rsidRDefault="0071600C" w:rsidP="008A52F6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/>
                <w:b/>
                <w:bCs/>
                <w:rtl/>
              </w:rPr>
              <w:t>شغل</w:t>
            </w:r>
          </w:p>
        </w:tc>
        <w:tc>
          <w:tcPr>
            <w:tcW w:w="1962" w:type="dxa"/>
          </w:tcPr>
          <w:p w14:paraId="0BB7513C" w14:textId="77777777" w:rsidR="0071600C" w:rsidRPr="00FA4D96" w:rsidRDefault="0071600C" w:rsidP="008A52F6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/>
                <w:b/>
                <w:bCs/>
                <w:rtl/>
              </w:rPr>
              <w:t>درجه علمي</w:t>
            </w:r>
          </w:p>
        </w:tc>
        <w:tc>
          <w:tcPr>
            <w:tcW w:w="2429" w:type="dxa"/>
          </w:tcPr>
          <w:p w14:paraId="12B41C7A" w14:textId="77777777" w:rsidR="0071600C" w:rsidRPr="00FA4D96" w:rsidRDefault="0071600C" w:rsidP="008A52F6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موضوع اصلی طرح</w:t>
            </w:r>
          </w:p>
          <w:p w14:paraId="22B53835" w14:textId="77777777" w:rsidR="0071600C" w:rsidRPr="00FA4D96" w:rsidRDefault="0071600C" w:rsidP="008A52F6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(اپیدمیولوژی، بهداشت،...)</w:t>
            </w:r>
          </w:p>
        </w:tc>
        <w:tc>
          <w:tcPr>
            <w:tcW w:w="1586" w:type="dxa"/>
          </w:tcPr>
          <w:p w14:paraId="1D3A1276" w14:textId="77777777" w:rsidR="0071600C" w:rsidRPr="00FA4D96" w:rsidRDefault="0071600C" w:rsidP="008A52F6">
            <w:pPr>
              <w:pStyle w:val="ListParagraph"/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  <w:r w:rsidRPr="00FA4D96">
              <w:rPr>
                <w:rFonts w:cs="B Titr" w:hint="cs"/>
                <w:rtl/>
                <w:lang w:bidi="fa-IR"/>
              </w:rPr>
              <w:t>کد طرح</w:t>
            </w:r>
          </w:p>
        </w:tc>
      </w:tr>
      <w:tr w:rsidR="0071600C" w14:paraId="57FFCF66" w14:textId="77777777" w:rsidTr="008A52F6">
        <w:trPr>
          <w:trHeight w:val="414"/>
        </w:trPr>
        <w:tc>
          <w:tcPr>
            <w:tcW w:w="1912" w:type="dxa"/>
          </w:tcPr>
          <w:p w14:paraId="3A3AFEFE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ساناز اعظمی</w:t>
            </w:r>
          </w:p>
        </w:tc>
        <w:tc>
          <w:tcPr>
            <w:tcW w:w="1673" w:type="dxa"/>
          </w:tcPr>
          <w:p w14:paraId="04551E0F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استاد دانشگاه</w:t>
            </w:r>
          </w:p>
        </w:tc>
        <w:tc>
          <w:tcPr>
            <w:tcW w:w="1962" w:type="dxa"/>
          </w:tcPr>
          <w:p w14:paraId="506ED960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دانشیار</w:t>
            </w:r>
          </w:p>
        </w:tc>
        <w:tc>
          <w:tcPr>
            <w:tcW w:w="2429" w:type="dxa"/>
          </w:tcPr>
          <w:p w14:paraId="47960CFE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پرستاری</w:t>
            </w:r>
          </w:p>
        </w:tc>
        <w:tc>
          <w:tcPr>
            <w:tcW w:w="1586" w:type="dxa"/>
          </w:tcPr>
          <w:p w14:paraId="627D534C" w14:textId="77777777" w:rsidR="0071600C" w:rsidRPr="0084027A" w:rsidRDefault="0071600C" w:rsidP="0071600C">
            <w:pPr>
              <w:pStyle w:val="ListParagraph"/>
              <w:numPr>
                <w:ilvl w:val="0"/>
                <w:numId w:val="12"/>
              </w:numPr>
              <w:rPr>
                <w:rFonts w:cs="B Titr"/>
                <w:sz w:val="20"/>
                <w:szCs w:val="20"/>
                <w:lang w:bidi="fa-IR"/>
              </w:rPr>
            </w:pPr>
            <w:r w:rsidRPr="0084027A">
              <w:rPr>
                <w:rFonts w:cs="B Titr"/>
                <w:b/>
                <w:bCs/>
                <w:sz w:val="20"/>
                <w:szCs w:val="20"/>
                <w:lang w:bidi="fa-IR"/>
              </w:rPr>
              <w:t>IR.MEDILAM.REC.1400.150</w:t>
            </w:r>
          </w:p>
          <w:p w14:paraId="7CF18171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71600C" w14:paraId="61F33E1E" w14:textId="77777777" w:rsidTr="008A52F6">
        <w:trPr>
          <w:trHeight w:val="432"/>
        </w:trPr>
        <w:tc>
          <w:tcPr>
            <w:tcW w:w="1912" w:type="dxa"/>
          </w:tcPr>
          <w:p w14:paraId="0BC465EF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معصومه اطاقی  </w:t>
            </w:r>
          </w:p>
          <w:p w14:paraId="08872831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41D9347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اعظم امینیان</w:t>
            </w:r>
          </w:p>
        </w:tc>
        <w:tc>
          <w:tcPr>
            <w:tcW w:w="1673" w:type="dxa"/>
          </w:tcPr>
          <w:p w14:paraId="3DA7DC77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استاد دانشگاه </w:t>
            </w:r>
          </w:p>
          <w:p w14:paraId="6BC19A9E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D5593FC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پرستار</w:t>
            </w:r>
          </w:p>
        </w:tc>
        <w:tc>
          <w:tcPr>
            <w:tcW w:w="1962" w:type="dxa"/>
          </w:tcPr>
          <w:p w14:paraId="571B1CA9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دانشیار </w:t>
            </w:r>
          </w:p>
          <w:p w14:paraId="462771CF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245FA0C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کارشناس ارشد پرستاری</w:t>
            </w:r>
          </w:p>
        </w:tc>
        <w:tc>
          <w:tcPr>
            <w:tcW w:w="2429" w:type="dxa"/>
          </w:tcPr>
          <w:p w14:paraId="01969520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پرستاری </w:t>
            </w:r>
          </w:p>
          <w:p w14:paraId="08E39C5C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EF21D96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پرستاری</w:t>
            </w:r>
          </w:p>
        </w:tc>
        <w:tc>
          <w:tcPr>
            <w:tcW w:w="1586" w:type="dxa"/>
          </w:tcPr>
          <w:p w14:paraId="4965D042" w14:textId="77777777" w:rsidR="0071600C" w:rsidRDefault="0071600C" w:rsidP="008A52F6">
            <w:pPr>
              <w:pStyle w:val="ListParagraph"/>
              <w:bidi/>
              <w:ind w:left="0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33A376E8" w14:textId="77777777" w:rsidR="000F4B85" w:rsidRDefault="00814A6C" w:rsidP="00814A6C">
      <w:pPr>
        <w:bidi/>
        <w:rPr>
          <w:rtl/>
        </w:rPr>
      </w:pPr>
      <w:r w:rsidRPr="00814A6C">
        <w:rPr>
          <w:rtl/>
        </w:rPr>
        <w:t>آموزش بیماران</w:t>
      </w:r>
      <w:r>
        <w:rPr>
          <w:rFonts w:hint="cs"/>
          <w:rtl/>
        </w:rPr>
        <w:t xml:space="preserve"> مبتلا به</w:t>
      </w:r>
      <w:r w:rsidRPr="00814A6C">
        <w:rPr>
          <w:rtl/>
        </w:rPr>
        <w:t xml:space="preserve"> گلوکوم موجب بهبود عملکرد بینایی و ارتقاء کیفیت زندگی آنان می‌شود</w:t>
      </w:r>
      <w:r w:rsidRPr="00814A6C">
        <w:t>.</w:t>
      </w:r>
    </w:p>
    <w:p w14:paraId="5DADDD3C" w14:textId="752BFD5B" w:rsidR="000D10D5" w:rsidRDefault="000D10D5" w:rsidP="000F4B8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514CCA1" w14:textId="77777777" w:rsidR="000F4B85" w:rsidRDefault="000F4B85" w:rsidP="000D10D5">
      <w:pPr>
        <w:bidi/>
        <w:rPr>
          <w:rtl/>
        </w:rPr>
      </w:pPr>
      <w:r>
        <w:rPr>
          <w:rtl/>
        </w:rPr>
        <w:t>نتایج این پژوهش نشان می‌دهد که مداخله آموزشی ساختاریافته می‌تواند عملکرد بینایی و کیفیت زندگی مرتبط با گلوکوم را بهبود بخشد. این مداخلات بدون عارضه جانبی خاصی بوده و می‌توانند به عنوان بخشی از برنامه‌های مراقبتی استاندارد برای بیماران گلوکومی مورد استفاده قرار گیرند. همچنین، این یافته‌ها بر ضرورت ادغام آموزش بیمار در مدیریت بالینی تأکید دارند</w:t>
      </w:r>
      <w:r>
        <w:t>.</w:t>
      </w:r>
    </w:p>
    <w:p w14:paraId="3C2367C8" w14:textId="1930ED85" w:rsidR="002F3851" w:rsidRDefault="002F3851" w:rsidP="000F4B8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5F02EF18" w14:textId="77777777" w:rsidR="00453900" w:rsidRPr="00453900" w:rsidRDefault="00453900" w:rsidP="00453900">
      <w:pPr>
        <w:bidi/>
      </w:pPr>
      <w:r w:rsidRPr="00453900">
        <w:rPr>
          <w:b/>
          <w:bCs/>
          <w:rtl/>
        </w:rPr>
        <w:t>اهمیت موضوع (</w:t>
      </w:r>
      <w:r w:rsidRPr="00453900">
        <w:rPr>
          <w:b/>
          <w:bCs/>
          <w:rtl/>
          <w:lang w:bidi="fa-IR"/>
        </w:rPr>
        <w:t>۵۰</w:t>
      </w:r>
      <w:r w:rsidRPr="00453900">
        <w:rPr>
          <w:b/>
          <w:bCs/>
          <w:rtl/>
        </w:rPr>
        <w:t xml:space="preserve"> کلمه)</w:t>
      </w:r>
      <w:r w:rsidRPr="00453900">
        <w:rPr>
          <w:b/>
          <w:bCs/>
        </w:rPr>
        <w:t>:</w:t>
      </w:r>
      <w:r w:rsidRPr="00453900">
        <w:br/>
      </w:r>
      <w:r w:rsidRPr="00453900">
        <w:rPr>
          <w:rtl/>
        </w:rPr>
        <w:t>گلوکوم یکی از دلایل اصلی نابینایی غیرقابل برگشت در جهان است. با توجه به مزمن بودن این بیماری و تأثیر آن بر کیفیت زندگی بیماران، آموزش بیماران می‌تواند نقش کلیدی در بهبود پیامدهای درمانی و عملکرد بینایی ایفا کند</w:t>
      </w:r>
      <w:r w:rsidRPr="00453900">
        <w:t>.</w:t>
      </w:r>
    </w:p>
    <w:p w14:paraId="0E9B5DD6" w14:textId="77777777" w:rsidR="00453900" w:rsidRPr="00453900" w:rsidRDefault="00453900" w:rsidP="00453900">
      <w:pPr>
        <w:bidi/>
      </w:pPr>
      <w:r w:rsidRPr="00453900">
        <w:rPr>
          <w:b/>
          <w:bCs/>
          <w:rtl/>
        </w:rPr>
        <w:t>مهمترین نتایج طرح به زبان غیرتخصصی (</w:t>
      </w:r>
      <w:r w:rsidRPr="00453900">
        <w:rPr>
          <w:b/>
          <w:bCs/>
          <w:rtl/>
          <w:lang w:bidi="fa-IR"/>
        </w:rPr>
        <w:t>۷۰</w:t>
      </w:r>
      <w:r w:rsidRPr="00453900">
        <w:rPr>
          <w:b/>
          <w:bCs/>
          <w:rtl/>
        </w:rPr>
        <w:t xml:space="preserve"> کلمه)</w:t>
      </w:r>
      <w:r w:rsidRPr="00453900">
        <w:rPr>
          <w:b/>
          <w:bCs/>
        </w:rPr>
        <w:t>:</w:t>
      </w:r>
      <w:r w:rsidRPr="00453900">
        <w:br/>
      </w:r>
      <w:r w:rsidRPr="00453900">
        <w:rPr>
          <w:rtl/>
        </w:rPr>
        <w:t xml:space="preserve">در این مطالعه، آموزش به بیماران مبتلا به گلوکوم باعث بهبود قابل توجهی در عملکرد بینایی و کاهش اضطراب ناشی از بیماری شد. </w:t>
      </w:r>
      <w:r w:rsidRPr="00453900">
        <w:rPr>
          <w:rtl/>
        </w:rPr>
        <w:lastRenderedPageBreak/>
        <w:t>شرکت‌کنندگان پس از آموزش، در انجام فعالیت‌های روزمره اعتماد به نفس بیشتری داشتند و از کیفیت زندگی بالاتری برخوردار شدند. این آموزش شامل اطلاعاتی در مورد بیماری، نحوه مصرف دارو، و مراقبت از بینایی بود</w:t>
      </w:r>
      <w:r w:rsidRPr="00453900">
        <w:t>.</w:t>
      </w:r>
    </w:p>
    <w:p w14:paraId="796BA6B7" w14:textId="77777777" w:rsidR="00453900" w:rsidRPr="00453900" w:rsidRDefault="00453900" w:rsidP="00453900">
      <w:pPr>
        <w:bidi/>
      </w:pPr>
      <w:r w:rsidRPr="00453900">
        <w:rPr>
          <w:b/>
          <w:bCs/>
          <w:rtl/>
        </w:rPr>
        <w:t>موارد کاربرد نتایج طرح (</w:t>
      </w:r>
      <w:r w:rsidRPr="00453900">
        <w:rPr>
          <w:b/>
          <w:bCs/>
          <w:rtl/>
          <w:lang w:bidi="fa-IR"/>
        </w:rPr>
        <w:t>۸۰</w:t>
      </w:r>
      <w:r w:rsidRPr="00453900">
        <w:rPr>
          <w:b/>
          <w:bCs/>
          <w:rtl/>
        </w:rPr>
        <w:t xml:space="preserve"> کلمه)</w:t>
      </w:r>
      <w:r w:rsidRPr="00453900">
        <w:rPr>
          <w:b/>
          <w:bCs/>
        </w:rPr>
        <w:t>:</w:t>
      </w:r>
      <w:r w:rsidRPr="00453900">
        <w:br/>
      </w:r>
      <w:r w:rsidRPr="00453900">
        <w:rPr>
          <w:rtl/>
        </w:rPr>
        <w:t>نتایج این پژوهش می‌تواند در طراحی برنامه‌های آموزشی برای بیماران مبتلا به گلوکوم مورد استفاده قرار گیرد. آموزش به‌عنوان بخشی از مراقبت بالینی، می‌تواند توسط پزشکان، پرستاران، و مشاوران سلامت ارائه شود تا پیامدهای روانی و عملکردی این بیماری کاهش یابد. این رویکرد به‌ویژه در نظام‌های بهداشتی با منابع محدود می‌تواند به بهبود کیفیت زندگی بیماران کمک کند</w:t>
      </w:r>
      <w:r w:rsidRPr="00453900">
        <w:t>.</w:t>
      </w:r>
    </w:p>
    <w:p w14:paraId="31E7C1BA" w14:textId="2B4DE267" w:rsidR="00453900" w:rsidRPr="00453900" w:rsidRDefault="00453900" w:rsidP="00453900">
      <w:pPr>
        <w:bidi/>
      </w:pPr>
    </w:p>
    <w:p w14:paraId="0DB92006" w14:textId="77777777" w:rsidR="00F95520" w:rsidRDefault="00F95520" w:rsidP="002F3851">
      <w:pPr>
        <w:bidi/>
        <w:rPr>
          <w:b/>
          <w:bCs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649F456" w14:textId="673D3AD5" w:rsidR="00A2206A" w:rsidRDefault="007D2A81" w:rsidP="00A2206A">
      <w:pPr>
        <w:bidi/>
        <w:rPr>
          <w:rFonts w:hint="cs"/>
          <w:b/>
          <w:bCs/>
          <w:lang w:bidi="fa-IR"/>
        </w:rPr>
      </w:pPr>
      <w:r>
        <w:rPr>
          <w:rStyle w:val="Strong"/>
          <w:rtl/>
        </w:rPr>
        <w:t>تأثیر 1</w:t>
      </w:r>
      <w:r>
        <w:rPr>
          <w:rStyle w:val="Strong"/>
        </w:rPr>
        <w:t>:</w:t>
      </w:r>
      <w:r>
        <w:t xml:space="preserve"> </w:t>
      </w:r>
      <w:r>
        <w:rPr>
          <w:rtl/>
        </w:rPr>
        <w:t>افزایش آگاهی بیماران نسبت به بیماری و ارتقاء خودمدیریتی</w:t>
      </w:r>
      <w:r>
        <w:t>.</w:t>
      </w:r>
      <w:r>
        <w:br/>
      </w:r>
      <w:r>
        <w:rPr>
          <w:rStyle w:val="Strong"/>
          <w:rtl/>
        </w:rPr>
        <w:t>تأثیر 2</w:t>
      </w:r>
      <w:r>
        <w:rPr>
          <w:rStyle w:val="Strong"/>
        </w:rPr>
        <w:t>:</w:t>
      </w:r>
      <w:r>
        <w:t xml:space="preserve"> </w:t>
      </w:r>
      <w:r>
        <w:rPr>
          <w:rtl/>
        </w:rPr>
        <w:t>بهبود نتایج عملکردی و کاهش بار روانی ناشی از بیماری</w:t>
      </w:r>
      <w:r>
        <w:t>.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5484251" w:rsidR="00A2206A" w:rsidRPr="007D2A81" w:rsidRDefault="007D2A81" w:rsidP="007D2A81">
      <w:pPr>
        <w:bidi/>
      </w:pPr>
      <w:r w:rsidRPr="007D2A81">
        <w:rPr>
          <w:rtl/>
        </w:rPr>
        <w:t>محدودیت اصلی این مطالعه، حجم نمونه نسبتاً کم و پیگیری کوتاه‌مدت پس از مداخله بود که ممکن است تعمیم نتایج به جمعیت‌های گسترده‌تر را محدود کند</w:t>
      </w:r>
      <w:r w:rsidRPr="007D2A81">
        <w:t>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B254568" w:rsidR="00F95520" w:rsidRDefault="007D2A81" w:rsidP="000F3D7B">
      <w:pPr>
        <w:bidi/>
        <w:jc w:val="both"/>
        <w:rPr>
          <w:b/>
          <w:bCs/>
          <w:rtl/>
        </w:rPr>
      </w:pPr>
      <w:r>
        <w:rPr>
          <w:rtl/>
        </w:rPr>
        <w:t>بیماران مبتلا به گلوکوم، چشم‌پزشکان، پرستاران مراقبت چشم، سیاست‌گذاران سلامت، نهادهای آموزشی و مراکز درمانی</w:t>
      </w:r>
      <w:r>
        <w:t>.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2630ED6C" w:rsidR="00F95520" w:rsidRDefault="007D2A81" w:rsidP="00F95520">
      <w:pPr>
        <w:bidi/>
        <w:jc w:val="both"/>
        <w:rPr>
          <w:b/>
          <w:bCs/>
          <w:rtl/>
        </w:rPr>
      </w:pPr>
      <w:r>
        <w:rPr>
          <w:rtl/>
        </w:rPr>
        <w:t>بله؛ این خبر می‌تواند از نظر بهداشتی و فرهنگی تأثیر مثبت داشته باشد، چرا که بر ارتقاء آگاهی بیماران و حمایت از توانمندسازی آن‌ها تمرکز دارد</w:t>
      </w:r>
      <w:r>
        <w:t>.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66D989B3" w:rsidR="00F95520" w:rsidRDefault="004956AF" w:rsidP="00F95520">
      <w:pPr>
        <w:bidi/>
        <w:jc w:val="both"/>
      </w:pPr>
      <w:hyperlink r:id="rId8" w:history="1">
        <w:r w:rsidRPr="009720AC">
          <w:rPr>
            <w:rStyle w:val="Hyperlink"/>
          </w:rPr>
          <w:t>https://link.springer.com/article/10.1007/s42399-024-01684-4</w:t>
        </w:r>
      </w:hyperlink>
    </w:p>
    <w:p w14:paraId="17E2256E" w14:textId="77777777" w:rsidR="004956AF" w:rsidRPr="00AA7CAA" w:rsidRDefault="004956AF" w:rsidP="004956AF">
      <w:pPr>
        <w:bidi/>
        <w:jc w:val="both"/>
        <w:rPr>
          <w:rtl/>
        </w:rPr>
      </w:pPr>
    </w:p>
    <w:p w14:paraId="79901E0F" w14:textId="1E51B1D9" w:rsidR="002F3851" w:rsidRDefault="002F3851" w:rsidP="002F3851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3F209677" w14:textId="2FCAE0BF" w:rsidR="004956AF" w:rsidRDefault="004956AF" w:rsidP="004956AF">
      <w:pPr>
        <w:bidi/>
        <w:jc w:val="both"/>
        <w:rPr>
          <w:rFonts w:hint="cs"/>
          <w:b/>
          <w:bCs/>
          <w:rtl/>
          <w:lang w:bidi="fa-IR"/>
        </w:rPr>
      </w:pPr>
      <w:hyperlink r:id="rId9" w:history="1">
        <w:r w:rsidRPr="009720AC">
          <w:rPr>
            <w:rStyle w:val="Hyperlink"/>
            <w:b/>
            <w:bCs/>
          </w:rPr>
          <w:t>aazamisanaz@gmail.com</w:t>
        </w:r>
      </w:hyperlink>
      <w:r>
        <w:rPr>
          <w:b/>
          <w:bCs/>
        </w:rPr>
        <w:t xml:space="preserve">                           09188431833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69736BBE" w:rsidR="002F3851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2382CADA" w14:textId="77777777" w:rsidR="004956AF" w:rsidRPr="004956AF" w:rsidRDefault="004956AF" w:rsidP="00495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4956AF">
        <w:rPr>
          <w:rFonts w:ascii="Times New Roman" w:eastAsia="Times New Roman" w:hAnsi="Times New Roman" w:cs="Times New Roman"/>
          <w:szCs w:val="24"/>
        </w:rPr>
        <w:t>Skalicky</w:t>
      </w:r>
      <w:proofErr w:type="spellEnd"/>
      <w:r w:rsidRPr="004956AF">
        <w:rPr>
          <w:rFonts w:ascii="Times New Roman" w:eastAsia="Times New Roman" w:hAnsi="Times New Roman" w:cs="Times New Roman"/>
          <w:szCs w:val="24"/>
        </w:rPr>
        <w:t xml:space="preserve">, S., Goldberg, I. (2008). </w:t>
      </w:r>
      <w:r w:rsidRPr="004956AF">
        <w:rPr>
          <w:rFonts w:ascii="Times New Roman" w:eastAsia="Times New Roman" w:hAnsi="Times New Roman" w:cs="Times New Roman"/>
          <w:i/>
          <w:iCs/>
          <w:szCs w:val="24"/>
        </w:rPr>
        <w:t>Depression and quality of life in patients with glaucoma: a cross-sectional analysis using the Geriatric Depression Scale-15, Assessment of Function Related to Vision, and the Glaucoma Quality of Life-15</w:t>
      </w:r>
      <w:r w:rsidRPr="004956AF">
        <w:rPr>
          <w:rFonts w:ascii="Times New Roman" w:eastAsia="Times New Roman" w:hAnsi="Times New Roman" w:cs="Times New Roman"/>
          <w:szCs w:val="24"/>
        </w:rPr>
        <w:t>. Journal of Glaucoma, 17(7), 546-551.</w:t>
      </w:r>
    </w:p>
    <w:p w14:paraId="6BACCD7B" w14:textId="77777777" w:rsidR="004956AF" w:rsidRPr="004956AF" w:rsidRDefault="004956AF" w:rsidP="00495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56AF">
        <w:rPr>
          <w:rFonts w:ascii="Times New Roman" w:eastAsia="Times New Roman" w:hAnsi="Times New Roman" w:cs="Times New Roman"/>
          <w:szCs w:val="24"/>
        </w:rPr>
        <w:t xml:space="preserve">Gray, T. A., </w:t>
      </w:r>
      <w:proofErr w:type="spellStart"/>
      <w:r w:rsidRPr="004956AF">
        <w:rPr>
          <w:rFonts w:ascii="Times New Roman" w:eastAsia="Times New Roman" w:hAnsi="Times New Roman" w:cs="Times New Roman"/>
          <w:szCs w:val="24"/>
        </w:rPr>
        <w:t>Fenerty</w:t>
      </w:r>
      <w:proofErr w:type="spellEnd"/>
      <w:r w:rsidRPr="004956AF">
        <w:rPr>
          <w:rFonts w:ascii="Times New Roman" w:eastAsia="Times New Roman" w:hAnsi="Times New Roman" w:cs="Times New Roman"/>
          <w:szCs w:val="24"/>
        </w:rPr>
        <w:t xml:space="preserve">, C., Harper, R. A., May, K., Waterman, H., &amp; Spencer, A. F. (2012). </w:t>
      </w:r>
      <w:proofErr w:type="spellStart"/>
      <w:r w:rsidRPr="004956AF">
        <w:rPr>
          <w:rFonts w:ascii="Times New Roman" w:eastAsia="Times New Roman" w:hAnsi="Times New Roman" w:cs="Times New Roman"/>
          <w:i/>
          <w:iCs/>
          <w:szCs w:val="24"/>
        </w:rPr>
        <w:t>Individualised</w:t>
      </w:r>
      <w:proofErr w:type="spellEnd"/>
      <w:r w:rsidRPr="004956AF">
        <w:rPr>
          <w:rFonts w:ascii="Times New Roman" w:eastAsia="Times New Roman" w:hAnsi="Times New Roman" w:cs="Times New Roman"/>
          <w:i/>
          <w:iCs/>
          <w:szCs w:val="24"/>
        </w:rPr>
        <w:t xml:space="preserve"> patient care interventions to improve adherence to topical glaucoma medication</w:t>
      </w:r>
      <w:r w:rsidRPr="004956AF">
        <w:rPr>
          <w:rFonts w:ascii="Times New Roman" w:eastAsia="Times New Roman" w:hAnsi="Times New Roman" w:cs="Times New Roman"/>
          <w:szCs w:val="24"/>
        </w:rPr>
        <w:t>. Cochrane Database of Systematic Reviews, (5).</w:t>
      </w:r>
    </w:p>
    <w:p w14:paraId="5F53E20A" w14:textId="77777777" w:rsidR="004956AF" w:rsidRPr="004956AF" w:rsidRDefault="004956AF" w:rsidP="00495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4956AF">
        <w:rPr>
          <w:rFonts w:ascii="Times New Roman" w:eastAsia="Times New Roman" w:hAnsi="Times New Roman" w:cs="Times New Roman"/>
          <w:szCs w:val="24"/>
        </w:rPr>
        <w:t>Jampel</w:t>
      </w:r>
      <w:proofErr w:type="spellEnd"/>
      <w:r w:rsidRPr="004956AF">
        <w:rPr>
          <w:rFonts w:ascii="Times New Roman" w:eastAsia="Times New Roman" w:hAnsi="Times New Roman" w:cs="Times New Roman"/>
          <w:szCs w:val="24"/>
        </w:rPr>
        <w:t xml:space="preserve">, H. D., Friedman, D. S., Quigley, H., Vitale, S., Miller, R., &amp; </w:t>
      </w:r>
      <w:proofErr w:type="spellStart"/>
      <w:r w:rsidRPr="004956AF">
        <w:rPr>
          <w:rFonts w:ascii="Times New Roman" w:eastAsia="Times New Roman" w:hAnsi="Times New Roman" w:cs="Times New Roman"/>
          <w:szCs w:val="24"/>
        </w:rPr>
        <w:t>Kass</w:t>
      </w:r>
      <w:proofErr w:type="spellEnd"/>
      <w:r w:rsidRPr="004956AF">
        <w:rPr>
          <w:rFonts w:ascii="Times New Roman" w:eastAsia="Times New Roman" w:hAnsi="Times New Roman" w:cs="Times New Roman"/>
          <w:szCs w:val="24"/>
        </w:rPr>
        <w:t xml:space="preserve">, M. A. (2002). </w:t>
      </w:r>
      <w:r w:rsidRPr="004956AF">
        <w:rPr>
          <w:rFonts w:ascii="Times New Roman" w:eastAsia="Times New Roman" w:hAnsi="Times New Roman" w:cs="Times New Roman"/>
          <w:i/>
          <w:iCs/>
          <w:szCs w:val="24"/>
        </w:rPr>
        <w:t>Correlations among visual field, quality of life, and clinical findings in glaucoma</w:t>
      </w:r>
      <w:r w:rsidRPr="004956AF">
        <w:rPr>
          <w:rFonts w:ascii="Times New Roman" w:eastAsia="Times New Roman" w:hAnsi="Times New Roman" w:cs="Times New Roman"/>
          <w:szCs w:val="24"/>
        </w:rPr>
        <w:t>. Journal of Glaucoma, 11(6), 374-382.</w:t>
      </w:r>
    </w:p>
    <w:p w14:paraId="30138B4D" w14:textId="77777777" w:rsidR="004956AF" w:rsidRPr="004956AF" w:rsidRDefault="004956AF" w:rsidP="00495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4956AF">
        <w:rPr>
          <w:rFonts w:ascii="Times New Roman" w:eastAsia="Times New Roman" w:hAnsi="Times New Roman" w:cs="Times New Roman"/>
          <w:szCs w:val="24"/>
        </w:rPr>
        <w:t>Sleath</w:t>
      </w:r>
      <w:proofErr w:type="spellEnd"/>
      <w:r w:rsidRPr="004956AF">
        <w:rPr>
          <w:rFonts w:ascii="Times New Roman" w:eastAsia="Times New Roman" w:hAnsi="Times New Roman" w:cs="Times New Roman"/>
          <w:szCs w:val="24"/>
        </w:rPr>
        <w:t xml:space="preserve">, B., Blalock, S., Robin, A. L., Hartnett, M. E., Covert, D., </w:t>
      </w:r>
      <w:proofErr w:type="spellStart"/>
      <w:r w:rsidRPr="004956AF">
        <w:rPr>
          <w:rFonts w:ascii="Times New Roman" w:eastAsia="Times New Roman" w:hAnsi="Times New Roman" w:cs="Times New Roman"/>
          <w:szCs w:val="24"/>
        </w:rPr>
        <w:t>DeVellis</w:t>
      </w:r>
      <w:proofErr w:type="spellEnd"/>
      <w:r w:rsidRPr="004956AF">
        <w:rPr>
          <w:rFonts w:ascii="Times New Roman" w:eastAsia="Times New Roman" w:hAnsi="Times New Roman" w:cs="Times New Roman"/>
          <w:szCs w:val="24"/>
        </w:rPr>
        <w:t xml:space="preserve">, B., &amp; Giangiacomo, A. (2011). </w:t>
      </w:r>
      <w:r w:rsidRPr="004956AF">
        <w:rPr>
          <w:rFonts w:ascii="Times New Roman" w:eastAsia="Times New Roman" w:hAnsi="Times New Roman" w:cs="Times New Roman"/>
          <w:i/>
          <w:iCs/>
          <w:szCs w:val="24"/>
        </w:rPr>
        <w:t>The relationship between glaucoma medication adherence, eye drop technique, and visual field defect severity</w:t>
      </w:r>
      <w:r w:rsidRPr="004956AF">
        <w:rPr>
          <w:rFonts w:ascii="Times New Roman" w:eastAsia="Times New Roman" w:hAnsi="Times New Roman" w:cs="Times New Roman"/>
          <w:szCs w:val="24"/>
        </w:rPr>
        <w:t>. Ophthalmology, 118(12), 2398-2402.</w:t>
      </w:r>
    </w:p>
    <w:bookmarkEnd w:id="0"/>
    <w:bookmarkEnd w:id="1"/>
    <w:p w14:paraId="0BF95229" w14:textId="77777777" w:rsidR="004956AF" w:rsidRPr="0066027C" w:rsidRDefault="004956AF" w:rsidP="004956AF">
      <w:pPr>
        <w:bidi/>
        <w:rPr>
          <w:b/>
          <w:bCs/>
          <w:rtl/>
          <w:lang w:bidi="fa-IR"/>
        </w:rPr>
      </w:pPr>
    </w:p>
    <w:sectPr w:rsidR="004956AF" w:rsidRPr="0066027C" w:rsidSect="005A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6ECD" w14:textId="77777777" w:rsidR="00376882" w:rsidRDefault="00376882" w:rsidP="00AA6739">
      <w:pPr>
        <w:spacing w:after="0" w:line="240" w:lineRule="auto"/>
      </w:pPr>
      <w:r>
        <w:separator/>
      </w:r>
    </w:p>
  </w:endnote>
  <w:endnote w:type="continuationSeparator" w:id="0">
    <w:p w14:paraId="3A458589" w14:textId="77777777" w:rsidR="00376882" w:rsidRDefault="0037688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6E68" w14:textId="77777777" w:rsidR="00376882" w:rsidRDefault="00376882" w:rsidP="00AA6739">
      <w:pPr>
        <w:spacing w:after="0" w:line="240" w:lineRule="auto"/>
      </w:pPr>
      <w:r>
        <w:separator/>
      </w:r>
    </w:p>
  </w:footnote>
  <w:footnote w:type="continuationSeparator" w:id="0">
    <w:p w14:paraId="54176A09" w14:textId="77777777" w:rsidR="00376882" w:rsidRDefault="0037688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8CC"/>
    <w:multiLevelType w:val="multilevel"/>
    <w:tmpl w:val="208A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A772110"/>
    <w:multiLevelType w:val="multilevel"/>
    <w:tmpl w:val="273E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C6EA7"/>
    <w:multiLevelType w:val="multilevel"/>
    <w:tmpl w:val="AA2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43192"/>
    <w:multiLevelType w:val="hybridMultilevel"/>
    <w:tmpl w:val="C1BAB7D4"/>
    <w:lvl w:ilvl="0" w:tplc="EFB229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CD2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DAF7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CA4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8ED9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30DB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1217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A94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4CD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23EAE"/>
    <w:multiLevelType w:val="multilevel"/>
    <w:tmpl w:val="B954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11"/>
  </w:num>
  <w:num w:numId="6">
    <w:abstractNumId w:val="15"/>
  </w:num>
  <w:num w:numId="7">
    <w:abstractNumId w:val="14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0F4B85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76882"/>
    <w:rsid w:val="00380CDE"/>
    <w:rsid w:val="003853E4"/>
    <w:rsid w:val="00453900"/>
    <w:rsid w:val="0046016C"/>
    <w:rsid w:val="004956AF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1600C"/>
    <w:rsid w:val="007D2A81"/>
    <w:rsid w:val="007F6C51"/>
    <w:rsid w:val="00814A6C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5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customStyle="1" w:styleId="ds-markdown-paragraph">
    <w:name w:val="ds-markdown-paragraph"/>
    <w:basedOn w:val="Normal"/>
    <w:rsid w:val="0071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1600C"/>
    <w:rPr>
      <w:b/>
      <w:bCs/>
    </w:rPr>
  </w:style>
  <w:style w:type="character" w:styleId="Hyperlink">
    <w:name w:val="Hyperlink"/>
    <w:basedOn w:val="DefaultParagraphFont"/>
    <w:uiPriority w:val="99"/>
    <w:unhideWhenUsed/>
    <w:rsid w:val="0049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6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956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2399-024-01684-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zamisanaz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313</cp:lastModifiedBy>
  <cp:revision>11</cp:revision>
  <cp:lastPrinted>2024-11-24T08:04:00Z</cp:lastPrinted>
  <dcterms:created xsi:type="dcterms:W3CDTF">2024-11-26T06:23:00Z</dcterms:created>
  <dcterms:modified xsi:type="dcterms:W3CDTF">2025-05-12T17:21:00Z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